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11"/>
      </w:tblGrid>
      <w:tr w:rsidR="006258A2" w:rsidRPr="00D24F4E" w:rsidTr="00B27BA1">
        <w:trPr>
          <w:trHeight w:val="1374"/>
        </w:trPr>
        <w:tc>
          <w:tcPr>
            <w:tcW w:w="3794" w:type="dxa"/>
            <w:vMerge w:val="restart"/>
            <w:vAlign w:val="center"/>
          </w:tcPr>
          <w:p w:rsidR="006258A2" w:rsidRPr="00B27BA1" w:rsidRDefault="004E289E" w:rsidP="00B27BA1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009650" cy="195961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5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1" w:type="dxa"/>
          </w:tcPr>
          <w:p w:rsidR="006258A2" w:rsidRPr="00D24F4E" w:rsidRDefault="004E289E" w:rsidP="006258A2">
            <w:pPr>
              <w:pStyle w:val="Style1"/>
              <w:widowControl/>
              <w:jc w:val="right"/>
              <w:rPr>
                <w:rStyle w:val="FontStyle18"/>
                <w:spacing w:val="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935480" cy="664845"/>
                  <wp:effectExtent l="19050" t="0" r="762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8A2" w:rsidRPr="00D24F4E" w:rsidTr="006258A2">
        <w:trPr>
          <w:trHeight w:val="1375"/>
        </w:trPr>
        <w:tc>
          <w:tcPr>
            <w:tcW w:w="3794" w:type="dxa"/>
            <w:vMerge/>
          </w:tcPr>
          <w:p w:rsidR="006258A2" w:rsidRPr="00D24F4E" w:rsidRDefault="006258A2" w:rsidP="006258A2">
            <w:pPr>
              <w:pStyle w:val="Style1"/>
              <w:widowControl/>
              <w:rPr>
                <w:rStyle w:val="FontStyle18"/>
                <w:spacing w:val="0"/>
              </w:rPr>
            </w:pPr>
          </w:p>
        </w:tc>
        <w:tc>
          <w:tcPr>
            <w:tcW w:w="6811" w:type="dxa"/>
            <w:vAlign w:val="center"/>
          </w:tcPr>
          <w:p w:rsidR="006258A2" w:rsidRPr="00D24F4E" w:rsidRDefault="00184B92" w:rsidP="006258A2">
            <w:pPr>
              <w:pStyle w:val="Style1"/>
              <w:widowControl/>
              <w:rPr>
                <w:rStyle w:val="FontStyle18"/>
                <w:spacing w:val="0"/>
              </w:rPr>
            </w:pPr>
            <w:r>
              <w:rPr>
                <w:rStyle w:val="FontStyle18"/>
                <w:spacing w:val="0"/>
              </w:rPr>
              <w:t>S 102</w:t>
            </w:r>
          </w:p>
          <w:p w:rsidR="006258A2" w:rsidRPr="00D24F4E" w:rsidRDefault="00C2149B" w:rsidP="009E13AF">
            <w:pPr>
              <w:widowControl/>
              <w:rPr>
                <w:rStyle w:val="FontStyle18"/>
                <w:spacing w:val="0"/>
                <w:sz w:val="34"/>
                <w:szCs w:val="34"/>
              </w:rPr>
            </w:pPr>
            <w:r>
              <w:rPr>
                <w:b/>
                <w:color w:val="000000"/>
                <w:sz w:val="36"/>
              </w:rPr>
              <w:t>Līmjava</w:t>
            </w:r>
            <w:r w:rsidR="00C07405">
              <w:rPr>
                <w:b/>
                <w:color w:val="000000"/>
                <w:sz w:val="36"/>
              </w:rPr>
              <w:t xml:space="preserve"> </w:t>
            </w:r>
            <w:r w:rsidR="009E13AF">
              <w:rPr>
                <w:b/>
                <w:color w:val="000000"/>
                <w:sz w:val="36"/>
              </w:rPr>
              <w:t>armējošās kārtas</w:t>
            </w:r>
            <w:r>
              <w:rPr>
                <w:b/>
                <w:color w:val="000000"/>
                <w:sz w:val="36"/>
              </w:rPr>
              <w:t xml:space="preserve"> izveidošanai uz polistirola.</w:t>
            </w:r>
          </w:p>
        </w:tc>
      </w:tr>
      <w:tr w:rsidR="006258A2" w:rsidRPr="00D24F4E" w:rsidTr="006258A2">
        <w:trPr>
          <w:trHeight w:val="1375"/>
        </w:trPr>
        <w:tc>
          <w:tcPr>
            <w:tcW w:w="3794" w:type="dxa"/>
            <w:vMerge/>
          </w:tcPr>
          <w:p w:rsidR="006258A2" w:rsidRPr="00D24F4E" w:rsidRDefault="006258A2" w:rsidP="006258A2">
            <w:pPr>
              <w:pStyle w:val="Style1"/>
              <w:widowControl/>
              <w:rPr>
                <w:rStyle w:val="FontStyle18"/>
                <w:spacing w:val="0"/>
              </w:rPr>
            </w:pPr>
          </w:p>
        </w:tc>
        <w:tc>
          <w:tcPr>
            <w:tcW w:w="6811" w:type="dxa"/>
            <w:vAlign w:val="center"/>
          </w:tcPr>
          <w:p w:rsidR="006258A2" w:rsidRPr="00D24F4E" w:rsidRDefault="00C2149B" w:rsidP="009E13AF">
            <w:pPr>
              <w:widowControl/>
              <w:rPr>
                <w:rStyle w:val="FontStyle18"/>
                <w:spacing w:val="0"/>
                <w:sz w:val="24"/>
                <w:szCs w:val="24"/>
              </w:rPr>
            </w:pPr>
            <w:r>
              <w:rPr>
                <w:color w:val="000000"/>
              </w:rPr>
              <w:t xml:space="preserve">Java paredzēta </w:t>
            </w:r>
            <w:r w:rsidR="009E13AF">
              <w:rPr>
                <w:color w:val="000000"/>
              </w:rPr>
              <w:t>armējošās kārtas izveidei</w:t>
            </w:r>
            <w:r>
              <w:rPr>
                <w:color w:val="000000"/>
              </w:rPr>
              <w:t xml:space="preserve"> siltināšanas sistēmās uz polistirola.</w:t>
            </w:r>
          </w:p>
        </w:tc>
      </w:tr>
    </w:tbl>
    <w:p w:rsidR="00143227" w:rsidRPr="00D24F4E" w:rsidRDefault="00143227" w:rsidP="006258A2">
      <w:pPr>
        <w:pStyle w:val="Style3"/>
        <w:widowControl/>
        <w:spacing w:line="240" w:lineRule="auto"/>
        <w:rPr>
          <w:rStyle w:val="FontStyle20"/>
        </w:rPr>
      </w:pPr>
    </w:p>
    <w:p w:rsidR="006258A2" w:rsidRPr="00D24F4E" w:rsidRDefault="006258A2" w:rsidP="006258A2">
      <w:pPr>
        <w:pStyle w:val="Style3"/>
        <w:widowControl/>
        <w:spacing w:before="173" w:after="624" w:line="240" w:lineRule="auto"/>
        <w:ind w:left="3994"/>
        <w:rPr>
          <w:rStyle w:val="FontStyle20"/>
        </w:rPr>
        <w:sectPr w:rsidR="006258A2" w:rsidRPr="00D24F4E" w:rsidSect="006258A2">
          <w:footerReference w:type="default" r:id="rId9"/>
          <w:type w:val="continuous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7866B5" w:rsidRDefault="007866B5" w:rsidP="007866B5">
      <w:pPr>
        <w:pStyle w:val="Style7"/>
        <w:widowControl/>
        <w:shd w:val="clear" w:color="auto" w:fill="FFC000"/>
        <w:spacing w:before="230"/>
        <w:rPr>
          <w:rStyle w:val="FontStyle22"/>
        </w:rPr>
      </w:pPr>
      <w:r>
        <w:rPr>
          <w:b/>
          <w:color w:val="FFFFFF"/>
          <w:sz w:val="20"/>
        </w:rPr>
        <w:lastRenderedPageBreak/>
        <w:t>ĪPAŠĪBAS</w:t>
      </w:r>
    </w:p>
    <w:p w:rsidR="00CF58F0" w:rsidRDefault="00CF58F0" w:rsidP="00CF58F0">
      <w:pPr>
        <w:widowControl/>
        <w:numPr>
          <w:ilvl w:val="0"/>
          <w:numId w:val="1"/>
        </w:numPr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minerāls</w:t>
      </w:r>
    </w:p>
    <w:p w:rsidR="00CF58F0" w:rsidRDefault="00CF58F0" w:rsidP="00CF58F0">
      <w:pPr>
        <w:widowControl/>
        <w:numPr>
          <w:ilvl w:val="0"/>
          <w:numId w:val="1"/>
        </w:numPr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atvērts uz difūziju</w:t>
      </w:r>
    </w:p>
    <w:p w:rsidR="00CF58F0" w:rsidRDefault="00CF58F0" w:rsidP="00CF58F0">
      <w:pPr>
        <w:widowControl/>
        <w:numPr>
          <w:ilvl w:val="0"/>
          <w:numId w:val="1"/>
        </w:numPr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 xml:space="preserve">pēc </w:t>
      </w:r>
      <w:r w:rsidR="009E13AF">
        <w:rPr>
          <w:b/>
          <w:color w:val="000000"/>
          <w:sz w:val="16"/>
        </w:rPr>
        <w:t>pilnas nožūšanas</w:t>
      </w:r>
      <w:r>
        <w:rPr>
          <w:b/>
          <w:color w:val="000000"/>
          <w:sz w:val="16"/>
        </w:rPr>
        <w:t xml:space="preserve"> salizturīgs un ūdensizturīgs</w:t>
      </w:r>
    </w:p>
    <w:p w:rsidR="00CF58F0" w:rsidRDefault="009E13AF" w:rsidP="00CF58F0">
      <w:pPr>
        <w:widowControl/>
        <w:numPr>
          <w:ilvl w:val="0"/>
          <w:numId w:val="1"/>
        </w:numPr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laba saķere</w:t>
      </w:r>
    </w:p>
    <w:p w:rsidR="00CF58F0" w:rsidRDefault="00CF58F0" w:rsidP="00CF58F0">
      <w:pPr>
        <w:widowControl/>
        <w:numPr>
          <w:ilvl w:val="0"/>
          <w:numId w:val="1"/>
        </w:numPr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augstā stabilitāte</w:t>
      </w:r>
    </w:p>
    <w:p w:rsidR="00CF58F0" w:rsidRDefault="00CF58F0" w:rsidP="00CF58F0">
      <w:pPr>
        <w:widowControl/>
        <w:numPr>
          <w:ilvl w:val="0"/>
          <w:numId w:val="1"/>
        </w:numPr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vieglā apstrādāšana ar roku un mašīnu</w:t>
      </w:r>
    </w:p>
    <w:p w:rsidR="00CF58F0" w:rsidRPr="00CF58F0" w:rsidRDefault="00CF58F0" w:rsidP="00CF58F0">
      <w:pPr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color w:val="000000"/>
          <w:sz w:val="16"/>
        </w:rPr>
        <w:t xml:space="preserve">izturīga pret </w:t>
      </w:r>
      <w:r w:rsidR="009E13AF">
        <w:rPr>
          <w:b/>
          <w:color w:val="000000"/>
          <w:sz w:val="16"/>
        </w:rPr>
        <w:t>atmosfēras iedarbību</w:t>
      </w:r>
      <w:r>
        <w:rPr>
          <w:b/>
          <w:color w:val="000000"/>
          <w:sz w:val="16"/>
        </w:rPr>
        <w:t xml:space="preserve"> un UV starojumu</w:t>
      </w:r>
    </w:p>
    <w:p w:rsidR="00CF58F0" w:rsidRDefault="00CF58F0" w:rsidP="00CF58F0">
      <w:pPr>
        <w:widowControl/>
        <w:numPr>
          <w:ilvl w:val="0"/>
          <w:numId w:val="1"/>
        </w:numPr>
        <w:rPr>
          <w:b/>
          <w:bCs/>
          <w:color w:val="000000"/>
          <w:sz w:val="16"/>
          <w:szCs w:val="16"/>
        </w:rPr>
      </w:pPr>
      <w:r>
        <w:rPr>
          <w:b/>
          <w:color w:val="000000"/>
          <w:sz w:val="16"/>
        </w:rPr>
        <w:t>pelēka krāsa</w:t>
      </w:r>
    </w:p>
    <w:p w:rsidR="00F12286" w:rsidRPr="00CF58F0" w:rsidRDefault="00CF58F0" w:rsidP="00CF58F0">
      <w:pPr>
        <w:widowControl/>
        <w:numPr>
          <w:ilvl w:val="0"/>
          <w:numId w:val="1"/>
        </w:numPr>
        <w:rPr>
          <w:rStyle w:val="FontStyle26"/>
          <w:b/>
          <w:bCs/>
          <w:sz w:val="16"/>
          <w:szCs w:val="16"/>
        </w:rPr>
      </w:pPr>
      <w:r>
        <w:rPr>
          <w:b/>
          <w:color w:val="000000"/>
          <w:sz w:val="16"/>
        </w:rPr>
        <w:t>pirms kārtēju virsmas slāņu uzklāšanas jābūt nogruntēta</w:t>
      </w:r>
      <w:r w:rsidR="009E13AF">
        <w:rPr>
          <w:b/>
          <w:color w:val="000000"/>
          <w:sz w:val="16"/>
        </w:rPr>
        <w:t>i</w:t>
      </w:r>
    </w:p>
    <w:p w:rsidR="007866B5" w:rsidRDefault="007866B5" w:rsidP="00633A0F">
      <w:pPr>
        <w:pStyle w:val="Style6"/>
        <w:widowControl/>
        <w:shd w:val="clear" w:color="auto" w:fill="FFC000"/>
        <w:tabs>
          <w:tab w:val="left" w:pos="168"/>
        </w:tabs>
        <w:spacing w:before="360" w:line="240" w:lineRule="auto"/>
        <w:ind w:firstLine="0"/>
        <w:rPr>
          <w:rStyle w:val="FontStyle26"/>
        </w:rPr>
      </w:pPr>
      <w:r>
        <w:rPr>
          <w:b/>
          <w:color w:val="FFFFFF"/>
          <w:sz w:val="20"/>
        </w:rPr>
        <w:t>LIETOŠANA</w:t>
      </w:r>
    </w:p>
    <w:p w:rsidR="00CF58F0" w:rsidRDefault="009E13AF" w:rsidP="00CF58F0">
      <w:pPr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color w:val="000000"/>
          <w:sz w:val="16"/>
        </w:rPr>
        <w:t>stiklašķiedras sieta iearmēšanai</w:t>
      </w:r>
      <w:r w:rsidR="00CF58F0">
        <w:rPr>
          <w:color w:val="000000"/>
          <w:sz w:val="16"/>
        </w:rPr>
        <w:t xml:space="preserve">siltināšanas sistēmās </w:t>
      </w:r>
      <w:r w:rsidR="00CF58F0">
        <w:rPr>
          <w:b/>
          <w:color w:val="000000"/>
          <w:sz w:val="16"/>
        </w:rPr>
        <w:t>LOBATHERM S</w:t>
      </w:r>
      <w:r w:rsidR="00CF58F0">
        <w:rPr>
          <w:color w:val="000000"/>
          <w:sz w:val="16"/>
        </w:rPr>
        <w:t xml:space="preserve"> uz polistirola. </w:t>
      </w:r>
    </w:p>
    <w:p w:rsidR="00F12286" w:rsidRPr="009E13AF" w:rsidRDefault="00CF58F0" w:rsidP="00CF58F0">
      <w:pPr>
        <w:widowControl/>
        <w:numPr>
          <w:ilvl w:val="0"/>
          <w:numId w:val="1"/>
        </w:numPr>
        <w:spacing w:after="240"/>
        <w:rPr>
          <w:rStyle w:val="FontStyle26"/>
          <w:sz w:val="16"/>
          <w:szCs w:val="16"/>
        </w:rPr>
      </w:pPr>
      <w:r w:rsidRPr="009E13AF">
        <w:rPr>
          <w:sz w:val="16"/>
          <w:szCs w:val="16"/>
        </w:rPr>
        <w:t>nelīdzenumu špaktelēšanai uz polistirola.</w:t>
      </w:r>
    </w:p>
    <w:p w:rsidR="004676D9" w:rsidRPr="00D24F4E" w:rsidRDefault="004676D9" w:rsidP="004676D9">
      <w:pPr>
        <w:pStyle w:val="Style6"/>
        <w:widowControl/>
        <w:shd w:val="clear" w:color="auto" w:fill="FFC000"/>
        <w:tabs>
          <w:tab w:val="left" w:pos="168"/>
        </w:tabs>
        <w:spacing w:before="5" w:line="240" w:lineRule="auto"/>
        <w:ind w:firstLine="0"/>
        <w:jc w:val="both"/>
        <w:rPr>
          <w:rStyle w:val="FontStyle26"/>
        </w:rPr>
      </w:pPr>
      <w:r>
        <w:rPr>
          <w:b/>
          <w:color w:val="FFFFFF"/>
          <w:sz w:val="20"/>
        </w:rPr>
        <w:t>KVALITĀTE UN DROŠĪBA</w:t>
      </w:r>
    </w:p>
    <w:p w:rsidR="00B81648" w:rsidRPr="00B81648" w:rsidRDefault="00B81648" w:rsidP="00B81648">
      <w:pPr>
        <w:pStyle w:val="Style6"/>
        <w:widowControl/>
        <w:numPr>
          <w:ilvl w:val="0"/>
          <w:numId w:val="1"/>
        </w:numPr>
        <w:spacing w:line="240" w:lineRule="auto"/>
        <w:ind w:left="170" w:hanging="170"/>
        <w:rPr>
          <w:color w:val="000000"/>
          <w:sz w:val="18"/>
          <w:szCs w:val="16"/>
        </w:rPr>
      </w:pPr>
      <w:r>
        <w:rPr>
          <w:color w:val="000000"/>
          <w:sz w:val="18"/>
        </w:rPr>
        <w:t xml:space="preserve">saistviela atbilstoši normai </w:t>
      </w:r>
      <w:r>
        <w:rPr>
          <w:b/>
          <w:color w:val="000000"/>
          <w:sz w:val="18"/>
        </w:rPr>
        <w:t>EN 197</w:t>
      </w:r>
    </w:p>
    <w:p w:rsidR="00B81648" w:rsidRPr="00B81648" w:rsidRDefault="00B81648" w:rsidP="00B81648">
      <w:pPr>
        <w:pStyle w:val="Style6"/>
        <w:widowControl/>
        <w:numPr>
          <w:ilvl w:val="0"/>
          <w:numId w:val="1"/>
        </w:numPr>
        <w:spacing w:line="240" w:lineRule="auto"/>
        <w:ind w:left="170" w:hanging="170"/>
        <w:rPr>
          <w:color w:val="000000"/>
          <w:sz w:val="18"/>
          <w:szCs w:val="16"/>
        </w:rPr>
      </w:pPr>
      <w:r>
        <w:rPr>
          <w:color w:val="000000"/>
          <w:sz w:val="18"/>
        </w:rPr>
        <w:t xml:space="preserve">kvalitātes pastāvīga kontrole saskaņā ar </w:t>
      </w:r>
      <w:r>
        <w:rPr>
          <w:b/>
          <w:color w:val="000000"/>
          <w:sz w:val="18"/>
        </w:rPr>
        <w:t>ISO 9001</w:t>
      </w:r>
    </w:p>
    <w:p w:rsidR="00143227" w:rsidRPr="00B81648" w:rsidRDefault="00B81648" w:rsidP="00B81648">
      <w:pPr>
        <w:pStyle w:val="Style6"/>
        <w:widowControl/>
        <w:numPr>
          <w:ilvl w:val="0"/>
          <w:numId w:val="1"/>
        </w:numPr>
        <w:tabs>
          <w:tab w:val="left" w:pos="168"/>
        </w:tabs>
        <w:spacing w:after="240" w:line="240" w:lineRule="auto"/>
        <w:ind w:firstLine="0"/>
        <w:rPr>
          <w:rStyle w:val="FontStyle26"/>
          <w:sz w:val="20"/>
        </w:rPr>
      </w:pPr>
      <w:r>
        <w:rPr>
          <w:color w:val="000000"/>
          <w:sz w:val="18"/>
        </w:rPr>
        <w:t>VI hroma saturs reducēts līdz līmenim &lt;2ppm</w:t>
      </w:r>
    </w:p>
    <w:p w:rsidR="00143227" w:rsidRPr="00D24F4E" w:rsidRDefault="004676D9" w:rsidP="004676D9">
      <w:pPr>
        <w:pStyle w:val="Style9"/>
        <w:widowControl/>
        <w:shd w:val="clear" w:color="auto" w:fill="FFC000"/>
        <w:spacing w:line="240" w:lineRule="auto"/>
        <w:ind w:right="14"/>
        <w:rPr>
          <w:sz w:val="20"/>
          <w:szCs w:val="20"/>
        </w:rPr>
      </w:pPr>
      <w:r>
        <w:rPr>
          <w:b/>
          <w:color w:val="FFFFFF"/>
          <w:sz w:val="20"/>
        </w:rPr>
        <w:t>VIRSMA</w:t>
      </w:r>
    </w:p>
    <w:p w:rsidR="00143227" w:rsidRPr="00CF58F0" w:rsidRDefault="00CF58F0" w:rsidP="00CF58F0">
      <w:pPr>
        <w:widowControl/>
        <w:jc w:val="both"/>
        <w:rPr>
          <w:color w:val="000000"/>
          <w:sz w:val="22"/>
          <w:szCs w:val="18"/>
        </w:rPr>
      </w:pPr>
      <w:r>
        <w:rPr>
          <w:color w:val="000000"/>
          <w:sz w:val="18"/>
        </w:rPr>
        <w:t>Virsma</w:t>
      </w:r>
      <w:r w:rsidR="009E13AF">
        <w:rPr>
          <w:color w:val="000000"/>
          <w:sz w:val="18"/>
        </w:rPr>
        <w:t>i</w:t>
      </w:r>
      <w:r>
        <w:rPr>
          <w:color w:val="000000"/>
          <w:sz w:val="18"/>
        </w:rPr>
        <w:t xml:space="preserve"> jābūt sausa</w:t>
      </w:r>
      <w:r w:rsidR="009E13AF">
        <w:rPr>
          <w:color w:val="000000"/>
          <w:sz w:val="18"/>
        </w:rPr>
        <w:t>i</w:t>
      </w:r>
      <w:r>
        <w:rPr>
          <w:color w:val="000000"/>
          <w:sz w:val="18"/>
        </w:rPr>
        <w:t>, tīra</w:t>
      </w:r>
      <w:r w:rsidR="009E13AF">
        <w:rPr>
          <w:color w:val="000000"/>
          <w:sz w:val="18"/>
        </w:rPr>
        <w:t>i</w:t>
      </w:r>
      <w:r>
        <w:rPr>
          <w:color w:val="000000"/>
          <w:sz w:val="18"/>
        </w:rPr>
        <w:t xml:space="preserve">, bez putekļiem un polistirola atliekām vai citiem pretadhēzijas līdzekļiem. </w:t>
      </w:r>
      <w:r w:rsidR="009E13AF">
        <w:rPr>
          <w:color w:val="000000"/>
          <w:sz w:val="18"/>
        </w:rPr>
        <w:t>Notīrīt</w:t>
      </w:r>
      <w:r>
        <w:rPr>
          <w:color w:val="000000"/>
          <w:sz w:val="18"/>
        </w:rPr>
        <w:t xml:space="preserve"> brīvus elementus un atliekas pēc iepriekšējiem slāņiem. Stipri absorbējošu virsmu samitrināt vai nogruntēt ar bāziquick-mix</w:t>
      </w:r>
      <w:r>
        <w:rPr>
          <w:b/>
          <w:color w:val="000000"/>
          <w:sz w:val="18"/>
        </w:rPr>
        <w:t>ABS</w:t>
      </w:r>
      <w:r>
        <w:rPr>
          <w:color w:val="000000"/>
          <w:sz w:val="18"/>
        </w:rPr>
        <w:t xml:space="preserve"> vai </w:t>
      </w:r>
      <w:r>
        <w:rPr>
          <w:b/>
          <w:color w:val="000000"/>
          <w:sz w:val="18"/>
        </w:rPr>
        <w:t>UG</w:t>
      </w:r>
      <w:r>
        <w:rPr>
          <w:color w:val="000000"/>
          <w:sz w:val="18"/>
        </w:rPr>
        <w:t xml:space="preserve">. Novērtējot virsmu, ievērot spēkā esošu normu norādījumu. Prasības polistirola plāksnēm un mehāniskiem savienojumiem, kā arī citas siltināšanas darbu detaļas ir aprakstītas Instrukcijā </w:t>
      </w:r>
      <w:r>
        <w:rPr>
          <w:b/>
          <w:color w:val="000000"/>
          <w:sz w:val="18"/>
        </w:rPr>
        <w:t>ITB 418/2007</w:t>
      </w:r>
      <w:r>
        <w:rPr>
          <w:color w:val="000000"/>
          <w:sz w:val="18"/>
        </w:rPr>
        <w:t xml:space="preserve"> un </w:t>
      </w:r>
      <w:r>
        <w:rPr>
          <w:b/>
          <w:color w:val="000000"/>
          <w:sz w:val="18"/>
        </w:rPr>
        <w:t>ITB 447/2009</w:t>
      </w:r>
      <w:r>
        <w:rPr>
          <w:color w:val="000000"/>
          <w:sz w:val="18"/>
        </w:rPr>
        <w:t>.</w:t>
      </w:r>
    </w:p>
    <w:p w:rsidR="00CF58F0" w:rsidRPr="00073861" w:rsidRDefault="00CF58F0" w:rsidP="00CF58F0">
      <w:pPr>
        <w:pStyle w:val="Style6"/>
        <w:widowControl/>
        <w:spacing w:line="240" w:lineRule="auto"/>
        <w:ind w:firstLine="0"/>
        <w:jc w:val="both"/>
        <w:rPr>
          <w:rStyle w:val="FontStyle26"/>
          <w:sz w:val="2"/>
        </w:rPr>
      </w:pPr>
      <w:r>
        <w:br w:type="column"/>
      </w:r>
    </w:p>
    <w:p w:rsidR="00143227" w:rsidRPr="00D24F4E" w:rsidRDefault="00B81648" w:rsidP="004676D9">
      <w:pPr>
        <w:pStyle w:val="Style9"/>
        <w:widowControl/>
        <w:shd w:val="clear" w:color="auto" w:fill="FFC000"/>
        <w:spacing w:line="240" w:lineRule="auto"/>
        <w:rPr>
          <w:sz w:val="20"/>
          <w:szCs w:val="20"/>
        </w:rPr>
      </w:pPr>
      <w:r>
        <w:rPr>
          <w:b/>
          <w:color w:val="FFFFFF"/>
          <w:sz w:val="20"/>
        </w:rPr>
        <w:t>APSTRĀDĀŠANA</w:t>
      </w:r>
    </w:p>
    <w:p w:rsidR="00143227" w:rsidRPr="00073861" w:rsidRDefault="00073861" w:rsidP="00073861">
      <w:pPr>
        <w:widowControl/>
        <w:jc w:val="both"/>
        <w:rPr>
          <w:rStyle w:val="FontStyle26"/>
          <w:szCs w:val="16"/>
        </w:rPr>
      </w:pPr>
      <w:r>
        <w:rPr>
          <w:color w:val="000000"/>
          <w:sz w:val="18"/>
        </w:rPr>
        <w:t>Javu samaisīt ar rokām vai plaši pieejamām mašīnām, vai maisīšanas-sūkšanas agregātiem. Rokas maisīšanas gadījumā javu tieši samaisīt ar plaš</w:t>
      </w:r>
      <w:r w:rsidR="009E13AF">
        <w:rPr>
          <w:color w:val="000000"/>
          <w:sz w:val="18"/>
        </w:rPr>
        <w:t>i pieejamu urbjmašīnu ar</w:t>
      </w:r>
      <w:r>
        <w:rPr>
          <w:color w:val="000000"/>
          <w:sz w:val="18"/>
        </w:rPr>
        <w:t xml:space="preserve">maisītāju, līdz viendabīgas masas </w:t>
      </w:r>
      <w:r w:rsidR="009E13AF">
        <w:rPr>
          <w:color w:val="000000"/>
          <w:sz w:val="18"/>
        </w:rPr>
        <w:t>iegūšanai</w:t>
      </w:r>
      <w:r>
        <w:rPr>
          <w:color w:val="000000"/>
          <w:sz w:val="18"/>
        </w:rPr>
        <w:t xml:space="preserve"> bez </w:t>
      </w:r>
      <w:r w:rsidR="009E13AF">
        <w:rPr>
          <w:color w:val="000000"/>
          <w:sz w:val="18"/>
        </w:rPr>
        <w:t>kunkuļiem</w:t>
      </w:r>
      <w:r>
        <w:rPr>
          <w:color w:val="000000"/>
          <w:sz w:val="18"/>
        </w:rPr>
        <w:t xml:space="preserve">. Java var būt lietota pēc 5 minūšu nogatavošanas laika. Javu vienmērīgi uzklāt uz izolācijas plāksnes, lietojot zobveida ķelli (8 x 8 mm vai 10 x 10 mm), pēc tam </w:t>
      </w:r>
      <w:r w:rsidR="009E13AF">
        <w:rPr>
          <w:color w:val="000000"/>
          <w:sz w:val="18"/>
        </w:rPr>
        <w:t>iegremdēt stiklašķiedras sietu</w:t>
      </w:r>
      <w:r>
        <w:rPr>
          <w:color w:val="000000"/>
          <w:sz w:val="18"/>
        </w:rPr>
        <w:t xml:space="preserve">, vienlaicīgi </w:t>
      </w:r>
      <w:r w:rsidR="009E13AF">
        <w:rPr>
          <w:color w:val="000000"/>
          <w:sz w:val="18"/>
        </w:rPr>
        <w:t>veidojot sieta pārlaidumus</w:t>
      </w:r>
      <w:r>
        <w:rPr>
          <w:color w:val="000000"/>
          <w:sz w:val="18"/>
        </w:rPr>
        <w:t xml:space="preserve"> 10 cm uz </w:t>
      </w:r>
      <w:r w:rsidR="009E13AF">
        <w:rPr>
          <w:color w:val="000000"/>
          <w:sz w:val="18"/>
        </w:rPr>
        <w:t>sieta</w:t>
      </w:r>
      <w:r>
        <w:rPr>
          <w:color w:val="000000"/>
          <w:sz w:val="18"/>
        </w:rPr>
        <w:t xml:space="preserve"> joslu savienojumiem. Min. </w:t>
      </w:r>
      <w:r w:rsidR="009E13AF">
        <w:rPr>
          <w:color w:val="000000"/>
          <w:sz w:val="18"/>
        </w:rPr>
        <w:t>kārtas</w:t>
      </w:r>
      <w:r>
        <w:rPr>
          <w:color w:val="000000"/>
          <w:sz w:val="18"/>
        </w:rPr>
        <w:t xml:space="preserve"> biezum</w:t>
      </w:r>
      <w:r w:rsidR="009E13AF">
        <w:rPr>
          <w:color w:val="000000"/>
          <w:sz w:val="18"/>
        </w:rPr>
        <w:t>am</w:t>
      </w:r>
      <w:r>
        <w:rPr>
          <w:color w:val="000000"/>
          <w:sz w:val="18"/>
        </w:rPr>
        <w:t xml:space="preserve"> pēc </w:t>
      </w:r>
      <w:r w:rsidR="009E13AF">
        <w:rPr>
          <w:color w:val="000000"/>
          <w:sz w:val="18"/>
        </w:rPr>
        <w:t>uzklāšanas</w:t>
      </w:r>
      <w:r>
        <w:rPr>
          <w:color w:val="000000"/>
          <w:sz w:val="18"/>
        </w:rPr>
        <w:t xml:space="preserve"> jābūt 4 mm. </w:t>
      </w:r>
      <w:r>
        <w:rPr>
          <w:b/>
          <w:color w:val="000000"/>
          <w:sz w:val="18"/>
        </w:rPr>
        <w:t xml:space="preserve">S 102 </w:t>
      </w:r>
      <w:r>
        <w:rPr>
          <w:color w:val="000000"/>
          <w:sz w:val="18"/>
        </w:rPr>
        <w:t xml:space="preserve">javas vidējs sacietēšanas laiks ir apm. 24 st. uz </w:t>
      </w:r>
      <w:r w:rsidR="009E13AF">
        <w:rPr>
          <w:color w:val="000000"/>
          <w:sz w:val="18"/>
        </w:rPr>
        <w:t>kārtas</w:t>
      </w:r>
      <w:r>
        <w:rPr>
          <w:color w:val="000000"/>
          <w:sz w:val="18"/>
        </w:rPr>
        <w:t xml:space="preserve"> biezuma 1 mm, atkarīgi no </w:t>
      </w:r>
      <w:r w:rsidR="009E13AF">
        <w:rPr>
          <w:color w:val="000000"/>
          <w:sz w:val="18"/>
        </w:rPr>
        <w:t>laika</w:t>
      </w:r>
      <w:r>
        <w:rPr>
          <w:color w:val="000000"/>
          <w:sz w:val="18"/>
        </w:rPr>
        <w:t xml:space="preserve"> apstākļiem. Svaigu javu sargāt no nelabvēlīgiem </w:t>
      </w:r>
      <w:r w:rsidR="009E13AF">
        <w:rPr>
          <w:color w:val="000000"/>
          <w:sz w:val="18"/>
        </w:rPr>
        <w:t>laika</w:t>
      </w:r>
      <w:r>
        <w:rPr>
          <w:color w:val="000000"/>
          <w:sz w:val="18"/>
        </w:rPr>
        <w:t xml:space="preserve"> apstākļiem (sals, stiprs vējš, tieša saules staru ietekme, lietus). Darbu veikt gaisa un virsmas temperatūrā no +5°C līdz +25°C.</w:t>
      </w:r>
    </w:p>
    <w:p w:rsidR="004676D9" w:rsidRPr="00D24F4E" w:rsidRDefault="00B81648" w:rsidP="004676D9">
      <w:pPr>
        <w:pStyle w:val="Style9"/>
        <w:widowControl/>
        <w:shd w:val="clear" w:color="auto" w:fill="FFC000"/>
        <w:spacing w:before="240" w:line="240" w:lineRule="auto"/>
        <w:rPr>
          <w:rStyle w:val="FontStyle26"/>
        </w:rPr>
      </w:pPr>
      <w:r>
        <w:rPr>
          <w:b/>
          <w:color w:val="FFFFFF"/>
          <w:sz w:val="20"/>
        </w:rPr>
        <w:t>IZLIETOJUMS</w:t>
      </w:r>
    </w:p>
    <w:p w:rsidR="00B27BA1" w:rsidRPr="00073861" w:rsidRDefault="00073861" w:rsidP="00073861">
      <w:pPr>
        <w:widowControl/>
        <w:jc w:val="both"/>
        <w:rPr>
          <w:color w:val="000000"/>
          <w:sz w:val="22"/>
          <w:szCs w:val="16"/>
        </w:rPr>
      </w:pPr>
      <w:r>
        <w:rPr>
          <w:color w:val="000000"/>
          <w:sz w:val="18"/>
        </w:rPr>
        <w:t>Uz 1 m</w:t>
      </w:r>
      <w:r>
        <w:rPr>
          <w:color w:val="000000"/>
          <w:sz w:val="18"/>
          <w:vertAlign w:val="superscript"/>
        </w:rPr>
        <w:t>2</w:t>
      </w:r>
      <w:r>
        <w:rPr>
          <w:color w:val="000000"/>
          <w:sz w:val="18"/>
        </w:rPr>
        <w:t xml:space="preserve"> ar </w:t>
      </w:r>
      <w:r w:rsidR="009E13AF">
        <w:rPr>
          <w:color w:val="000000"/>
          <w:sz w:val="18"/>
        </w:rPr>
        <w:t>kārtas</w:t>
      </w:r>
      <w:r>
        <w:rPr>
          <w:color w:val="000000"/>
          <w:sz w:val="18"/>
        </w:rPr>
        <w:t xml:space="preserve"> biezumu 1 mm nepieciešami izmantot apm. 1,4 kg sausas javas</w:t>
      </w:r>
      <w:r>
        <w:rPr>
          <w:color w:val="000000"/>
          <w:sz w:val="20"/>
        </w:rPr>
        <w:t>.</w:t>
      </w:r>
    </w:p>
    <w:p w:rsidR="00B27BA1" w:rsidRDefault="00B27BA1" w:rsidP="00B27BA1">
      <w:pPr>
        <w:widowControl/>
        <w:rPr>
          <w:b/>
          <w:bCs/>
          <w:color w:val="FFFFFF"/>
          <w:sz w:val="16"/>
          <w:szCs w:val="16"/>
        </w:rPr>
      </w:pPr>
      <w:r>
        <w:rPr>
          <w:b/>
          <w:color w:val="FFFFFF"/>
          <w:sz w:val="16"/>
        </w:rPr>
        <w:t>IZLIETOJUMS</w:t>
      </w:r>
    </w:p>
    <w:p w:rsidR="00143227" w:rsidRPr="00D24F4E" w:rsidRDefault="009E13AF" w:rsidP="002F05F9">
      <w:pPr>
        <w:pStyle w:val="Style9"/>
        <w:widowControl/>
        <w:shd w:val="clear" w:color="auto" w:fill="FFC000"/>
        <w:spacing w:before="120" w:line="240" w:lineRule="auto"/>
        <w:jc w:val="left"/>
        <w:rPr>
          <w:sz w:val="20"/>
          <w:szCs w:val="20"/>
        </w:rPr>
      </w:pPr>
      <w:r>
        <w:rPr>
          <w:b/>
          <w:color w:val="FFFFFF"/>
          <w:sz w:val="20"/>
        </w:rPr>
        <w:t>IEPAKOJUMS</w:t>
      </w:r>
    </w:p>
    <w:p w:rsidR="00143227" w:rsidRDefault="00B81648" w:rsidP="004676D9">
      <w:pPr>
        <w:pStyle w:val="Style9"/>
        <w:widowControl/>
        <w:spacing w:after="240" w:line="240" w:lineRule="auto"/>
        <w:jc w:val="left"/>
        <w:rPr>
          <w:rStyle w:val="FontStyle26"/>
        </w:rPr>
      </w:pPr>
      <w:r>
        <w:rPr>
          <w:rStyle w:val="FontStyle26"/>
        </w:rPr>
        <w:t>25 kg</w:t>
      </w:r>
    </w:p>
    <w:p w:rsidR="004C7835" w:rsidRPr="00073861" w:rsidRDefault="00B81648" w:rsidP="004C7835">
      <w:pPr>
        <w:pStyle w:val="Style9"/>
        <w:widowControl/>
        <w:shd w:val="clear" w:color="auto" w:fill="FFC000"/>
        <w:spacing w:line="240" w:lineRule="auto"/>
        <w:rPr>
          <w:szCs w:val="20"/>
        </w:rPr>
      </w:pPr>
      <w:r>
        <w:rPr>
          <w:b/>
          <w:color w:val="FFFFFF"/>
          <w:sz w:val="20"/>
        </w:rPr>
        <w:t>UZGLABĀŠANA</w:t>
      </w:r>
    </w:p>
    <w:p w:rsidR="00F12286" w:rsidRPr="00B81648" w:rsidRDefault="00B81648" w:rsidP="00B81648">
      <w:pPr>
        <w:widowControl/>
        <w:spacing w:after="240"/>
        <w:jc w:val="both"/>
        <w:rPr>
          <w:color w:val="000000"/>
          <w:sz w:val="20"/>
          <w:szCs w:val="18"/>
        </w:rPr>
      </w:pPr>
      <w:r>
        <w:rPr>
          <w:color w:val="000000"/>
          <w:sz w:val="18"/>
        </w:rPr>
        <w:t>Glabāt sausā vietā uz koksnes paliktņiem. Uzglabāšanas laiks: 12 mēneši no datuma, norādīta uz iepakojuma.</w:t>
      </w:r>
    </w:p>
    <w:p w:rsidR="00B81648" w:rsidRDefault="00B81648" w:rsidP="00B81648">
      <w:pPr>
        <w:widowControl/>
        <w:shd w:val="clear" w:color="auto" w:fill="FFC000"/>
        <w:rPr>
          <w:rFonts w:ascii="Times New Roman" w:hAnsi="Times New Roman" w:cs="Times New Roman"/>
        </w:rPr>
      </w:pPr>
      <w:r>
        <w:rPr>
          <w:b/>
          <w:color w:val="FFFFFF"/>
          <w:sz w:val="20"/>
        </w:rPr>
        <w:t>NORĀDĪJUMI</w:t>
      </w:r>
    </w:p>
    <w:p w:rsidR="00B81648" w:rsidRDefault="00B81648" w:rsidP="00B81648">
      <w:pPr>
        <w:widowControl/>
        <w:spacing w:after="240"/>
        <w:jc w:val="both"/>
        <w:rPr>
          <w:rFonts w:ascii="Times New Roman" w:hAnsi="Times New Roman" w:cs="Times New Roman"/>
        </w:rPr>
      </w:pPr>
      <w:r>
        <w:rPr>
          <w:color w:val="000000"/>
          <w:sz w:val="18"/>
        </w:rPr>
        <w:t>Produkts satur portlandcementu, kas var ierosināt alerģiju, un kalcija hidroksīdu. Pē</w:t>
      </w:r>
      <w:r w:rsidR="009E13AF">
        <w:rPr>
          <w:color w:val="000000"/>
          <w:sz w:val="18"/>
        </w:rPr>
        <w:t>c samaisīšanas ar ūdeni reaģē sārmaini. Sargāt acis</w:t>
      </w:r>
      <w:r>
        <w:rPr>
          <w:color w:val="000000"/>
          <w:sz w:val="18"/>
        </w:rPr>
        <w:t xml:space="preserve"> un ādu. Pēc javas saskares ar ādu, kontakta vietu tieši nomazgāt ar daudz ūdens. Pēc javas saskares ar acīm, </w:t>
      </w:r>
      <w:r w:rsidR="009E13AF">
        <w:rPr>
          <w:color w:val="000000"/>
          <w:sz w:val="18"/>
        </w:rPr>
        <w:t>izmazgāt</w:t>
      </w:r>
      <w:r>
        <w:rPr>
          <w:color w:val="000000"/>
          <w:sz w:val="18"/>
        </w:rPr>
        <w:t xml:space="preserve"> ac</w:t>
      </w:r>
      <w:r w:rsidR="009E13AF">
        <w:rPr>
          <w:color w:val="000000"/>
          <w:sz w:val="18"/>
        </w:rPr>
        <w:t>is</w:t>
      </w:r>
      <w:r>
        <w:rPr>
          <w:color w:val="000000"/>
          <w:sz w:val="18"/>
        </w:rPr>
        <w:t xml:space="preserve"> ar</w:t>
      </w:r>
      <w:r w:rsidR="009E13AF">
        <w:rPr>
          <w:color w:val="000000"/>
          <w:sz w:val="18"/>
        </w:rPr>
        <w:t xml:space="preserve"> lielu</w:t>
      </w:r>
      <w:r>
        <w:rPr>
          <w:color w:val="000000"/>
          <w:sz w:val="18"/>
        </w:rPr>
        <w:t xml:space="preserve"> ūdens daudzumu un nekavējoties kontaktēties ar ārstu.</w:t>
      </w:r>
    </w:p>
    <w:p w:rsidR="00B81648" w:rsidRPr="00D24F4E" w:rsidRDefault="00B81648" w:rsidP="00B81648">
      <w:pPr>
        <w:widowControl/>
        <w:jc w:val="both"/>
        <w:rPr>
          <w:rStyle w:val="FontStyle25"/>
        </w:rPr>
      </w:pPr>
      <w:r>
        <w:rPr>
          <w:color w:val="000000"/>
          <w:sz w:val="16"/>
        </w:rPr>
        <w:t xml:space="preserve">Minēta informācija tika saņemta pēc plašiem pētījumiem un daudzgadu praktiskas pieredzes. Bet nevar attiekties uz visiem lietošanas </w:t>
      </w:r>
      <w:r w:rsidR="009E13AF">
        <w:rPr>
          <w:color w:val="000000"/>
          <w:sz w:val="16"/>
        </w:rPr>
        <w:t>gadījumiem</w:t>
      </w:r>
      <w:r>
        <w:rPr>
          <w:color w:val="000000"/>
          <w:sz w:val="16"/>
        </w:rPr>
        <w:t>. Atstājam sev tiesību iesniegt tehniskās izmaiņas produkta attīstības ietvaros.</w:t>
      </w:r>
    </w:p>
    <w:p w:rsidR="00B81648" w:rsidRDefault="00B81648" w:rsidP="00F12286">
      <w:pPr>
        <w:pStyle w:val="Style4"/>
        <w:widowControl/>
        <w:rPr>
          <w:rStyle w:val="FontStyle25"/>
        </w:rPr>
      </w:pPr>
    </w:p>
    <w:p w:rsidR="00F12286" w:rsidRDefault="00F12286" w:rsidP="00F12286">
      <w:pPr>
        <w:pStyle w:val="Style4"/>
        <w:widowControl/>
        <w:rPr>
          <w:rStyle w:val="FontStyle25"/>
        </w:rPr>
        <w:sectPr w:rsidR="00F12286" w:rsidSect="006258A2">
          <w:headerReference w:type="default" r:id="rId10"/>
          <w:type w:val="continuous"/>
          <w:pgSz w:w="11905" w:h="16837"/>
          <w:pgMar w:top="720" w:right="720" w:bottom="720" w:left="720" w:header="708" w:footer="708" w:gutter="0"/>
          <w:cols w:num="2" w:space="708" w:equalWidth="0">
            <w:col w:w="4879" w:space="706"/>
            <w:col w:w="4879"/>
          </w:cols>
          <w:noEndnote/>
          <w:docGrid w:linePitch="326"/>
        </w:sectPr>
      </w:pPr>
    </w:p>
    <w:p w:rsidR="004C7835" w:rsidRPr="004676D9" w:rsidRDefault="004C7835" w:rsidP="004C7835">
      <w:pPr>
        <w:shd w:val="clear" w:color="auto" w:fill="FFC000"/>
        <w:spacing w:before="120" w:after="120"/>
      </w:pPr>
      <w:r>
        <w:rPr>
          <w:b/>
          <w:color w:val="FFFFFF"/>
          <w:sz w:val="20"/>
        </w:rPr>
        <w:lastRenderedPageBreak/>
        <w:t>TEHNISKIE PARAMETRI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03"/>
        <w:gridCol w:w="2581"/>
      </w:tblGrid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z w:val="16"/>
                <w:szCs w:val="16"/>
              </w:rPr>
            </w:pPr>
            <w:r>
              <w:rPr>
                <w:spacing w:val="1"/>
                <w:sz w:val="16"/>
              </w:rPr>
              <w:t>ienākšanas laiks</w:t>
            </w:r>
          </w:p>
          <w:p w:rsidR="0073472C" w:rsidRPr="0073472C" w:rsidRDefault="0073472C" w:rsidP="0073472C">
            <w:pPr>
              <w:spacing w:before="1"/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1"/>
                <w:sz w:val="16"/>
              </w:rPr>
              <w:t>lietošanas laiks: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z w:val="16"/>
                <w:szCs w:val="16"/>
              </w:rPr>
            </w:pPr>
            <w:r>
              <w:rPr>
                <w:spacing w:val="-1"/>
                <w:sz w:val="16"/>
              </w:rPr>
              <w:t>apm. 5 min.</w:t>
            </w:r>
          </w:p>
          <w:p w:rsidR="0073472C" w:rsidRPr="0073472C" w:rsidRDefault="0073472C" w:rsidP="0073472C">
            <w:pPr>
              <w:spacing w:before="1"/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apm. 1-2 st. pēc sagatavošanas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pacing w:val="1"/>
                <w:sz w:val="16"/>
                <w:szCs w:val="16"/>
              </w:rPr>
            </w:pPr>
            <w:r>
              <w:rPr>
                <w:spacing w:val="-1"/>
                <w:sz w:val="16"/>
              </w:rPr>
              <w:t>pielipšana pie betona: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pacing w:val="-1"/>
                <w:sz w:val="16"/>
                <w:szCs w:val="16"/>
              </w:rPr>
            </w:pP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left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pacing w:val="1"/>
                <w:sz w:val="16"/>
                <w:szCs w:val="16"/>
              </w:rPr>
            </w:pPr>
            <w:r>
              <w:rPr>
                <w:sz w:val="16"/>
              </w:rPr>
              <w:t>- ja paraugi tiek glabāti gaisa-sausos apstākļos</w:t>
            </w:r>
          </w:p>
        </w:tc>
        <w:tc>
          <w:tcPr>
            <w:tcW w:w="2642" w:type="pct"/>
            <w:tcBorders>
              <w:left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≥ 0,3 MPa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left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pacing w:val="1"/>
                <w:sz w:val="16"/>
                <w:szCs w:val="16"/>
              </w:rPr>
            </w:pPr>
            <w:r>
              <w:rPr>
                <w:sz w:val="16"/>
              </w:rPr>
              <w:t>- pēc nogremdēšanas ūdenī 24 stundu laikā</w:t>
            </w:r>
          </w:p>
        </w:tc>
        <w:tc>
          <w:tcPr>
            <w:tcW w:w="2642" w:type="pct"/>
            <w:tcBorders>
              <w:left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</w:rPr>
              <w:t>≥ 0,2 MPa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z w:val="16"/>
              </w:rPr>
              <w:t>- pēc 5 termiskiem-mitruma cikliem</w:t>
            </w:r>
          </w:p>
        </w:tc>
        <w:tc>
          <w:tcPr>
            <w:tcW w:w="2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16"/>
              </w:rPr>
              <w:t>≥ 0,3 MPa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ūdens patērēšana: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ap 5,5 l uz 25 kg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izlietošana: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apm. 1,4 kg/m</w:t>
            </w:r>
            <w:r>
              <w:rPr>
                <w:position w:val="8"/>
                <w:sz w:val="10"/>
              </w:rPr>
              <w:t xml:space="preserve">2 </w:t>
            </w:r>
            <w:r>
              <w:rPr>
                <w:spacing w:val="-1"/>
                <w:sz w:val="16"/>
              </w:rPr>
              <w:t>uz 1 mm slāņa biezuma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graudainība: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z w:val="16"/>
              </w:rPr>
              <w:t>0 – 0,6 mm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stiegrota slāņa biezums: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z w:val="16"/>
              </w:rPr>
              <w:t>4 mm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1"/>
                <w:sz w:val="16"/>
              </w:rPr>
              <w:t>lietošanas temperatūra: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no +5°C līdz +25°C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3"/>
                <w:sz w:val="16"/>
              </w:rPr>
              <w:t>uzglabāšana: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862BC" w:rsidP="0073472C">
            <w:pPr>
              <w:ind w:left="64"/>
              <w:rPr>
                <w:sz w:val="16"/>
                <w:szCs w:val="16"/>
              </w:rPr>
            </w:pPr>
            <w:r>
              <w:rPr>
                <w:sz w:val="16"/>
              </w:rPr>
              <w:t>sausā vietā, 12 mēneši</w:t>
            </w:r>
            <w:r w:rsidR="0073472C">
              <w:rPr>
                <w:sz w:val="16"/>
              </w:rPr>
              <w:t xml:space="preserve"> no</w:t>
            </w:r>
          </w:p>
          <w:p w:rsidR="0073472C" w:rsidRPr="0073472C" w:rsidRDefault="0073472C" w:rsidP="0073472C">
            <w:pPr>
              <w:spacing w:before="1"/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ražošanas datuma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iepakojums: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16"/>
              </w:rPr>
              <w:t>25 kg</w:t>
            </w:r>
          </w:p>
        </w:tc>
      </w:tr>
      <w:tr w:rsidR="0073472C" w:rsidRPr="0073472C" w:rsidTr="0073472C">
        <w:trPr>
          <w:trHeight w:val="227"/>
        </w:trPr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1"/>
                <w:sz w:val="16"/>
              </w:rPr>
              <w:t>krāsa:</w:t>
            </w:r>
          </w:p>
        </w:tc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2C" w:rsidRPr="0073472C" w:rsidRDefault="0073472C" w:rsidP="0073472C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spacing w:val="1"/>
                <w:sz w:val="16"/>
              </w:rPr>
              <w:t>pelēka</w:t>
            </w:r>
          </w:p>
        </w:tc>
      </w:tr>
    </w:tbl>
    <w:p w:rsidR="004C7835" w:rsidRDefault="004C7835" w:rsidP="00AE606C">
      <w:pPr>
        <w:pStyle w:val="Style9"/>
        <w:widowControl/>
        <w:spacing w:line="240" w:lineRule="auto"/>
        <w:rPr>
          <w:rStyle w:val="FontStyle26"/>
        </w:rPr>
      </w:pPr>
      <w:r>
        <w:rPr>
          <w:rStyle w:val="FontStyle26"/>
        </w:rPr>
        <w:t>Tehniskie dati attiecas temperatūrai 20°C un gaisa relatīvam mitrumam 65%</w:t>
      </w:r>
    </w:p>
    <w:p w:rsidR="00E45969" w:rsidRPr="00AE606C" w:rsidRDefault="00AE606C" w:rsidP="00AE606C">
      <w:pPr>
        <w:pStyle w:val="Style9"/>
        <w:widowControl/>
        <w:spacing w:line="240" w:lineRule="auto"/>
        <w:rPr>
          <w:bCs/>
          <w:color w:val="000000"/>
          <w:sz w:val="16"/>
          <w:szCs w:val="16"/>
        </w:rPr>
      </w:pPr>
      <w:r>
        <w:br w:type="column"/>
      </w:r>
      <w:r>
        <w:rPr>
          <w:color w:val="000000"/>
          <w:spacing w:val="1"/>
          <w:sz w:val="16"/>
        </w:rPr>
        <w:lastRenderedPageBreak/>
        <w:t>Produkts ir sekojošo siltināšanas sistēmu sastāvdaļa:</w:t>
      </w:r>
    </w:p>
    <w:p w:rsidR="00E45969" w:rsidRDefault="00E45969" w:rsidP="00E45969">
      <w:pPr>
        <w:spacing w:line="239" w:lineRule="auto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</w:rPr>
        <w:t>LOBATHERM S un atbilst tehniska</w:t>
      </w:r>
      <w:r w:rsidR="007862BC">
        <w:rPr>
          <w:color w:val="000000"/>
          <w:spacing w:val="-1"/>
          <w:sz w:val="16"/>
        </w:rPr>
        <w:t>jā</w:t>
      </w:r>
      <w:r>
        <w:rPr>
          <w:color w:val="000000"/>
          <w:spacing w:val="-1"/>
          <w:sz w:val="16"/>
        </w:rPr>
        <w:t xml:space="preserve">m </w:t>
      </w:r>
      <w:r w:rsidR="007862BC">
        <w:rPr>
          <w:color w:val="000000"/>
          <w:spacing w:val="-1"/>
          <w:sz w:val="16"/>
        </w:rPr>
        <w:t>normām</w:t>
      </w:r>
      <w:r>
        <w:rPr>
          <w:color w:val="000000"/>
          <w:spacing w:val="-1"/>
          <w:sz w:val="16"/>
        </w:rPr>
        <w:t>:</w:t>
      </w:r>
    </w:p>
    <w:p w:rsidR="00E45969" w:rsidRPr="00E45969" w:rsidRDefault="00E45969" w:rsidP="00E45969">
      <w:pPr>
        <w:spacing w:after="240" w:line="239" w:lineRule="auto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</w:rPr>
        <w:t xml:space="preserve">LOBATHERM S: </w:t>
      </w:r>
      <w:r>
        <w:rPr>
          <w:b/>
          <w:color w:val="000000"/>
          <w:spacing w:val="-6"/>
          <w:sz w:val="16"/>
        </w:rPr>
        <w:t>AT-15-4310/2012</w:t>
      </w:r>
    </w:p>
    <w:p w:rsidR="00E45969" w:rsidRPr="00E45969" w:rsidRDefault="00E45969" w:rsidP="00E45969">
      <w:pPr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</w:rPr>
        <w:t xml:space="preserve">Valsts atbilstības deklarācija </w:t>
      </w:r>
      <w:r>
        <w:rPr>
          <w:b/>
          <w:color w:val="000000"/>
          <w:sz w:val="16"/>
        </w:rPr>
        <w:t>S 102:</w:t>
      </w:r>
    </w:p>
    <w:p w:rsidR="00E45969" w:rsidRPr="00E45969" w:rsidRDefault="00E45969" w:rsidP="00E45969">
      <w:pPr>
        <w:spacing w:line="182" w:lineRule="exact"/>
        <w:rPr>
          <w:color w:val="000000"/>
          <w:sz w:val="16"/>
          <w:szCs w:val="16"/>
        </w:rPr>
      </w:pPr>
      <w:r>
        <w:rPr>
          <w:b/>
          <w:color w:val="000000"/>
          <w:spacing w:val="-1"/>
          <w:sz w:val="16"/>
        </w:rPr>
        <w:t>05090224 / 30.05.2012</w:t>
      </w:r>
    </w:p>
    <w:p w:rsidR="00E45969" w:rsidRPr="00E45969" w:rsidRDefault="00E45969" w:rsidP="00E45969">
      <w:pPr>
        <w:spacing w:after="240"/>
        <w:rPr>
          <w:color w:val="000000"/>
          <w:sz w:val="16"/>
          <w:szCs w:val="16"/>
        </w:rPr>
      </w:pPr>
      <w:r>
        <w:rPr>
          <w:color w:val="000000"/>
          <w:spacing w:val="1"/>
          <w:sz w:val="16"/>
        </w:rPr>
        <w:t xml:space="preserve">Sertificējošā vienība ITB Varšavā Nr. </w:t>
      </w:r>
      <w:r>
        <w:rPr>
          <w:b/>
          <w:color w:val="000000"/>
          <w:spacing w:val="-6"/>
          <w:sz w:val="16"/>
        </w:rPr>
        <w:t>AC 020</w:t>
      </w:r>
      <w:r>
        <w:rPr>
          <w:color w:val="000000"/>
          <w:spacing w:val="1"/>
          <w:sz w:val="16"/>
        </w:rPr>
        <w:t>.</w:t>
      </w:r>
    </w:p>
    <w:p w:rsidR="00E45969" w:rsidRPr="00E45969" w:rsidRDefault="00E45969" w:rsidP="00E45969">
      <w:pPr>
        <w:rPr>
          <w:color w:val="000000"/>
          <w:sz w:val="16"/>
          <w:szCs w:val="16"/>
        </w:rPr>
      </w:pPr>
      <w:r>
        <w:rPr>
          <w:color w:val="000000"/>
          <w:sz w:val="16"/>
        </w:rPr>
        <w:t>Ražošanas uzņēmums:</w:t>
      </w:r>
    </w:p>
    <w:p w:rsidR="00E45969" w:rsidRPr="00E45969" w:rsidRDefault="00E45969" w:rsidP="00E45969">
      <w:pPr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</w:rPr>
        <w:t>Nr. 60: ul. Nyska 73, 57-100 Strzelin, Polijā</w:t>
      </w:r>
    </w:p>
    <w:p w:rsidR="00E45969" w:rsidRPr="00E45969" w:rsidRDefault="00E45969" w:rsidP="00E45969">
      <w:pPr>
        <w:spacing w:line="182" w:lineRule="exact"/>
        <w:rPr>
          <w:color w:val="000000"/>
          <w:sz w:val="16"/>
          <w:szCs w:val="16"/>
        </w:rPr>
      </w:pPr>
      <w:r>
        <w:rPr>
          <w:color w:val="000000"/>
          <w:spacing w:val="-1"/>
          <w:sz w:val="16"/>
        </w:rPr>
        <w:t>Nr. 61: ul. Opoczyńska 14; 96-200 RawaMazowiecka, Polijā</w:t>
      </w:r>
    </w:p>
    <w:p w:rsidR="00E45969" w:rsidRDefault="004E289E" w:rsidP="0073472C">
      <w:pPr>
        <w:pStyle w:val="Style9"/>
        <w:widowControl/>
        <w:spacing w:before="240" w:after="240" w:line="240" w:lineRule="auto"/>
        <w:rPr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  <w:lang w:bidi="ar-SA"/>
        </w:rPr>
        <w:drawing>
          <wp:inline distT="0" distB="0" distL="0" distR="0">
            <wp:extent cx="748030" cy="78359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B8" w:rsidRPr="00D24F4E" w:rsidRDefault="00E541B8" w:rsidP="00E45969">
      <w:pPr>
        <w:pStyle w:val="Style9"/>
        <w:widowControl/>
        <w:spacing w:line="240" w:lineRule="auto"/>
        <w:rPr>
          <w:rStyle w:val="FontStyle26"/>
        </w:rPr>
      </w:pPr>
      <w:r>
        <w:rPr>
          <w:rStyle w:val="FontStyle26"/>
        </w:rPr>
        <w:t>Stāvoklis: 2013. g. augusts</w:t>
      </w:r>
    </w:p>
    <w:p w:rsidR="00E541B8" w:rsidRPr="00275D2C" w:rsidRDefault="00E541B8" w:rsidP="00E541B8">
      <w:pPr>
        <w:pStyle w:val="Style13"/>
        <w:widowControl/>
        <w:spacing w:line="240" w:lineRule="auto"/>
        <w:ind w:right="24"/>
        <w:rPr>
          <w:rStyle w:val="FontStyle25"/>
          <w:sz w:val="18"/>
        </w:rPr>
      </w:pPr>
      <w:r>
        <w:rPr>
          <w:rStyle w:val="FontStyle25"/>
          <w:sz w:val="18"/>
        </w:rPr>
        <w:t>Jaunās tehniskās lapas izdošanas brīdī šī lapa zaudē savu spēku.</w:t>
      </w:r>
    </w:p>
    <w:p w:rsidR="00E541B8" w:rsidRPr="00D24F4E" w:rsidRDefault="00E541B8" w:rsidP="00E45969">
      <w:pPr>
        <w:pStyle w:val="Style9"/>
        <w:widowControl/>
        <w:spacing w:before="240" w:line="240" w:lineRule="auto"/>
        <w:jc w:val="left"/>
        <w:rPr>
          <w:rStyle w:val="FontStyle26"/>
        </w:rPr>
      </w:pPr>
      <w:r>
        <w:rPr>
          <w:rStyle w:val="FontStyle26"/>
        </w:rPr>
        <w:t>Plašākā informācija pieejama:</w:t>
      </w:r>
    </w:p>
    <w:p w:rsidR="00E541B8" w:rsidRPr="00D24F4E" w:rsidRDefault="00E541B8" w:rsidP="00E541B8">
      <w:pPr>
        <w:pStyle w:val="Style9"/>
        <w:widowControl/>
        <w:spacing w:line="240" w:lineRule="auto"/>
        <w:jc w:val="left"/>
        <w:rPr>
          <w:rStyle w:val="FontStyle26"/>
        </w:rPr>
      </w:pPr>
      <w:r>
        <w:rPr>
          <w:rStyle w:val="FontStyle26"/>
        </w:rPr>
        <w:t>quick-mixsp. z o.o.</w:t>
      </w:r>
    </w:p>
    <w:p w:rsidR="00C523FD" w:rsidRPr="00DC3175" w:rsidRDefault="00C523FD" w:rsidP="00C523FD">
      <w:pPr>
        <w:widowControl/>
        <w:rPr>
          <w:color w:val="000000"/>
          <w:sz w:val="18"/>
          <w:szCs w:val="20"/>
        </w:rPr>
      </w:pPr>
      <w:r>
        <w:rPr>
          <w:color w:val="000000"/>
          <w:sz w:val="18"/>
        </w:rPr>
        <w:t>ul. Brzegowa 73</w:t>
      </w:r>
    </w:p>
    <w:p w:rsidR="00C523FD" w:rsidRPr="00DC3175" w:rsidRDefault="00C523FD" w:rsidP="00E57373">
      <w:pPr>
        <w:pStyle w:val="Style9"/>
        <w:widowControl/>
        <w:spacing w:line="240" w:lineRule="auto"/>
        <w:jc w:val="left"/>
        <w:rPr>
          <w:color w:val="000000"/>
          <w:sz w:val="18"/>
          <w:szCs w:val="20"/>
        </w:rPr>
      </w:pPr>
      <w:r>
        <w:rPr>
          <w:color w:val="000000"/>
          <w:sz w:val="18"/>
        </w:rPr>
        <w:t>57-100 Strzelin, Polijā</w:t>
      </w:r>
    </w:p>
    <w:p w:rsidR="00E541B8" w:rsidRPr="00D24F4E" w:rsidRDefault="00E541B8" w:rsidP="00C523FD">
      <w:pPr>
        <w:pStyle w:val="Style9"/>
        <w:widowControl/>
        <w:spacing w:line="240" w:lineRule="auto"/>
        <w:jc w:val="left"/>
        <w:rPr>
          <w:rStyle w:val="FontStyle26"/>
        </w:rPr>
      </w:pPr>
      <w:r>
        <w:rPr>
          <w:rStyle w:val="FontStyle26"/>
        </w:rPr>
        <w:t>tālr. 071/ 392 72 20, 15</w:t>
      </w:r>
    </w:p>
    <w:p w:rsidR="00E541B8" w:rsidRPr="00D24F4E" w:rsidRDefault="00E541B8" w:rsidP="00E541B8">
      <w:pPr>
        <w:pStyle w:val="Style9"/>
        <w:widowControl/>
        <w:spacing w:line="240" w:lineRule="auto"/>
        <w:jc w:val="left"/>
        <w:rPr>
          <w:rStyle w:val="FontStyle26"/>
        </w:rPr>
      </w:pPr>
      <w:r>
        <w:rPr>
          <w:rStyle w:val="FontStyle26"/>
        </w:rPr>
        <w:t>fakss: 071/ 392 72 23, 24</w:t>
      </w:r>
    </w:p>
    <w:p w:rsidR="00E541B8" w:rsidRPr="00D24F4E" w:rsidRDefault="00E541B8" w:rsidP="00E541B8">
      <w:pPr>
        <w:pStyle w:val="Style9"/>
        <w:widowControl/>
        <w:spacing w:line="240" w:lineRule="auto"/>
        <w:jc w:val="left"/>
        <w:rPr>
          <w:rStyle w:val="FontStyle26"/>
        </w:rPr>
      </w:pPr>
      <w:r>
        <w:rPr>
          <w:rStyle w:val="FontStyle26"/>
        </w:rPr>
        <w:t>e-pasts: info@quick-mix.pl</w:t>
      </w:r>
    </w:p>
    <w:p w:rsidR="00E541B8" w:rsidRDefault="0060300D" w:rsidP="00E541B8">
      <w:pPr>
        <w:pStyle w:val="Style9"/>
        <w:widowControl/>
        <w:spacing w:line="240" w:lineRule="auto"/>
        <w:jc w:val="left"/>
        <w:rPr>
          <w:rStyle w:val="FontStyle26"/>
        </w:rPr>
      </w:pPr>
      <w:hyperlink r:id="rId12" w:history="1">
        <w:r w:rsidR="007862BC" w:rsidRPr="00893EDE">
          <w:rPr>
            <w:rStyle w:val="Hyperlink"/>
            <w:rFonts w:cs="Arial"/>
            <w:sz w:val="18"/>
            <w:szCs w:val="18"/>
          </w:rPr>
          <w:t>www.quick-mix.pl</w:t>
        </w:r>
      </w:hyperlink>
    </w:p>
    <w:p w:rsidR="007862BC" w:rsidRDefault="007862BC" w:rsidP="00E541B8">
      <w:pPr>
        <w:pStyle w:val="Style9"/>
        <w:widowControl/>
        <w:spacing w:line="240" w:lineRule="auto"/>
        <w:jc w:val="left"/>
        <w:rPr>
          <w:rStyle w:val="FontStyle26"/>
        </w:rPr>
      </w:pPr>
    </w:p>
    <w:p w:rsidR="007862BC" w:rsidRDefault="007862BC" w:rsidP="00E541B8">
      <w:pPr>
        <w:pStyle w:val="Style9"/>
        <w:widowControl/>
        <w:spacing w:line="240" w:lineRule="auto"/>
        <w:jc w:val="left"/>
        <w:rPr>
          <w:rStyle w:val="FontStyle26"/>
        </w:rPr>
      </w:pPr>
    </w:p>
    <w:p w:rsidR="007862BC" w:rsidRPr="00D24F4E" w:rsidRDefault="007862BC" w:rsidP="00E541B8">
      <w:pPr>
        <w:pStyle w:val="Style9"/>
        <w:widowControl/>
        <w:spacing w:line="240" w:lineRule="auto"/>
        <w:jc w:val="left"/>
        <w:rPr>
          <w:rStyle w:val="FontStyle26"/>
        </w:rPr>
      </w:pPr>
      <w:r>
        <w:rPr>
          <w:rStyle w:val="FontStyle26"/>
        </w:rPr>
        <w:t>SIA Colortexquick-Mix produkcijas oficiālais dīleris Latvijas teritorijā.</w:t>
      </w:r>
      <w:bookmarkStart w:id="0" w:name="_GoBack"/>
      <w:bookmarkEnd w:id="0"/>
    </w:p>
    <w:p w:rsidR="00143227" w:rsidRDefault="00143227" w:rsidP="006258A2">
      <w:pPr>
        <w:pStyle w:val="Style9"/>
        <w:widowControl/>
        <w:spacing w:line="240" w:lineRule="auto"/>
        <w:jc w:val="left"/>
        <w:rPr>
          <w:rStyle w:val="FontStyle26"/>
        </w:rPr>
      </w:pPr>
    </w:p>
    <w:p w:rsidR="004676D9" w:rsidRPr="00D24F4E" w:rsidRDefault="004676D9" w:rsidP="006258A2">
      <w:pPr>
        <w:pStyle w:val="Style9"/>
        <w:widowControl/>
        <w:spacing w:line="240" w:lineRule="auto"/>
        <w:jc w:val="left"/>
        <w:rPr>
          <w:rStyle w:val="FontStyle26"/>
        </w:rPr>
        <w:sectPr w:rsidR="004676D9" w:rsidRPr="00D24F4E">
          <w:headerReference w:type="default" r:id="rId13"/>
          <w:pgSz w:w="11905" w:h="16837"/>
          <w:pgMar w:top="1867" w:right="771" w:bottom="1440" w:left="737" w:header="708" w:footer="708" w:gutter="0"/>
          <w:cols w:num="2" w:space="708" w:equalWidth="0">
            <w:col w:w="4992" w:space="576"/>
            <w:col w:w="4828"/>
          </w:cols>
          <w:noEndnote/>
        </w:sectPr>
      </w:pPr>
    </w:p>
    <w:p w:rsidR="00143227" w:rsidRPr="00D24F4E" w:rsidRDefault="00143227" w:rsidP="006258A2">
      <w:pPr>
        <w:widowControl/>
        <w:rPr>
          <w:rStyle w:val="FontStyle26"/>
        </w:rPr>
      </w:pPr>
    </w:p>
    <w:sectPr w:rsidR="00143227" w:rsidRPr="00D24F4E" w:rsidSect="0060300D">
      <w:type w:val="continuous"/>
      <w:pgSz w:w="11905" w:h="16837"/>
      <w:pgMar w:top="2256" w:right="564" w:bottom="509" w:left="85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3A" w:rsidRDefault="00E8103A">
      <w:r>
        <w:separator/>
      </w:r>
    </w:p>
  </w:endnote>
  <w:endnote w:type="continuationSeparator" w:id="1">
    <w:p w:rsidR="00E8103A" w:rsidRDefault="00E8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D9" w:rsidRPr="004676D9" w:rsidRDefault="00D34690" w:rsidP="004676D9">
    <w:pPr>
      <w:pStyle w:val="Style4"/>
      <w:widowControl/>
      <w:tabs>
        <w:tab w:val="right" w:pos="10465"/>
      </w:tabs>
      <w:spacing w:before="34"/>
      <w:rPr>
        <w:color w:val="000000"/>
        <w:sz w:val="16"/>
        <w:szCs w:val="16"/>
      </w:rPr>
    </w:pPr>
    <w:r>
      <w:rPr>
        <w:rStyle w:val="FontStyle25"/>
      </w:rPr>
      <w:t>45429_S 102_KT</w:t>
    </w:r>
    <w:r>
      <w:tab/>
    </w:r>
    <w:r w:rsidR="0060300D" w:rsidRPr="004676D9">
      <w:rPr>
        <w:rStyle w:val="FontStyle25"/>
      </w:rPr>
      <w:fldChar w:fldCharType="begin"/>
    </w:r>
    <w:r w:rsidR="004676D9" w:rsidRPr="004676D9">
      <w:rPr>
        <w:rStyle w:val="FontStyle25"/>
      </w:rPr>
      <w:instrText>PAGE   \* MERGEFORMAT</w:instrText>
    </w:r>
    <w:r w:rsidR="0060300D" w:rsidRPr="004676D9">
      <w:rPr>
        <w:rStyle w:val="FontStyle25"/>
      </w:rPr>
      <w:fldChar w:fldCharType="separate"/>
    </w:r>
    <w:r w:rsidR="00C07405">
      <w:rPr>
        <w:rStyle w:val="FontStyle25"/>
        <w:noProof/>
      </w:rPr>
      <w:t>1</w:t>
    </w:r>
    <w:r w:rsidR="0060300D" w:rsidRPr="004676D9">
      <w:rPr>
        <w:rStyle w:val="FontStyle2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3A" w:rsidRDefault="00E8103A">
      <w:r>
        <w:separator/>
      </w:r>
    </w:p>
  </w:footnote>
  <w:footnote w:type="continuationSeparator" w:id="1">
    <w:p w:rsidR="00E8103A" w:rsidRDefault="00E81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B8" w:rsidRDefault="004E289E" w:rsidP="00E541B8">
    <w:pPr>
      <w:pStyle w:val="Header"/>
      <w:spacing w:after="240"/>
      <w:jc w:val="right"/>
    </w:pPr>
    <w:r>
      <w:rPr>
        <w:noProof/>
        <w:lang w:bidi="ar-SA"/>
      </w:rPr>
      <w:drawing>
        <wp:inline distT="0" distB="0" distL="0" distR="0">
          <wp:extent cx="1828800" cy="48704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D9" w:rsidRDefault="004E289E" w:rsidP="004676D9">
    <w:pPr>
      <w:pStyle w:val="Header"/>
      <w:jc w:val="right"/>
    </w:pPr>
    <w:r>
      <w:rPr>
        <w:noProof/>
        <w:lang w:bidi="ar-SA"/>
      </w:rPr>
      <w:drawing>
        <wp:inline distT="0" distB="0" distL="0" distR="0">
          <wp:extent cx="1995170" cy="676910"/>
          <wp:effectExtent l="19050" t="0" r="508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E22A8"/>
    <w:lvl w:ilvl="0">
      <w:numFmt w:val="bullet"/>
      <w:lvlText w:val="*"/>
      <w:lvlJc w:val="left"/>
    </w:lvl>
  </w:abstractNum>
  <w:abstractNum w:abstractNumId="1">
    <w:nsid w:val="11A474D1"/>
    <w:multiLevelType w:val="hybridMultilevel"/>
    <w:tmpl w:val="550E837A"/>
    <w:lvl w:ilvl="0" w:tplc="56FA1ED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39F5"/>
    <w:multiLevelType w:val="singleLevel"/>
    <w:tmpl w:val="293E92F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">
    <w:nsid w:val="4D921080"/>
    <w:multiLevelType w:val="singleLevel"/>
    <w:tmpl w:val="293E92F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>
    <w:nsid w:val="57731E4E"/>
    <w:multiLevelType w:val="hybridMultilevel"/>
    <w:tmpl w:val="B19C6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4475F"/>
    <w:multiLevelType w:val="singleLevel"/>
    <w:tmpl w:val="293E92F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258A2"/>
    <w:rsid w:val="00030C19"/>
    <w:rsid w:val="00047598"/>
    <w:rsid w:val="00053BEE"/>
    <w:rsid w:val="0005425A"/>
    <w:rsid w:val="00073861"/>
    <w:rsid w:val="000A7FD3"/>
    <w:rsid w:val="000E659D"/>
    <w:rsid w:val="000E7C4B"/>
    <w:rsid w:val="00107E3B"/>
    <w:rsid w:val="00121026"/>
    <w:rsid w:val="00143227"/>
    <w:rsid w:val="00170710"/>
    <w:rsid w:val="00184B92"/>
    <w:rsid w:val="00223B42"/>
    <w:rsid w:val="00242882"/>
    <w:rsid w:val="00246254"/>
    <w:rsid w:val="0027335B"/>
    <w:rsid w:val="00275D2C"/>
    <w:rsid w:val="00284BCA"/>
    <w:rsid w:val="002C61BE"/>
    <w:rsid w:val="002F05F9"/>
    <w:rsid w:val="0035041E"/>
    <w:rsid w:val="00374891"/>
    <w:rsid w:val="00383DB3"/>
    <w:rsid w:val="004249BB"/>
    <w:rsid w:val="00451152"/>
    <w:rsid w:val="004676D9"/>
    <w:rsid w:val="004900BA"/>
    <w:rsid w:val="004C6F36"/>
    <w:rsid w:val="004C7835"/>
    <w:rsid w:val="004E289E"/>
    <w:rsid w:val="005013EB"/>
    <w:rsid w:val="00540EFC"/>
    <w:rsid w:val="00565022"/>
    <w:rsid w:val="00573E76"/>
    <w:rsid w:val="005C429F"/>
    <w:rsid w:val="0060300D"/>
    <w:rsid w:val="006258A2"/>
    <w:rsid w:val="00633A0F"/>
    <w:rsid w:val="006F07EA"/>
    <w:rsid w:val="0071731C"/>
    <w:rsid w:val="0073472C"/>
    <w:rsid w:val="00745EED"/>
    <w:rsid w:val="0076437D"/>
    <w:rsid w:val="007862BC"/>
    <w:rsid w:val="007866B5"/>
    <w:rsid w:val="00807D48"/>
    <w:rsid w:val="008230EA"/>
    <w:rsid w:val="008375F3"/>
    <w:rsid w:val="008D18BE"/>
    <w:rsid w:val="00900532"/>
    <w:rsid w:val="0090273E"/>
    <w:rsid w:val="0090276D"/>
    <w:rsid w:val="009E13AF"/>
    <w:rsid w:val="009E6E5E"/>
    <w:rsid w:val="00A2164C"/>
    <w:rsid w:val="00A35608"/>
    <w:rsid w:val="00A7237A"/>
    <w:rsid w:val="00AD6AB7"/>
    <w:rsid w:val="00AE606C"/>
    <w:rsid w:val="00B27BA1"/>
    <w:rsid w:val="00B56C3C"/>
    <w:rsid w:val="00B81648"/>
    <w:rsid w:val="00BB0DFD"/>
    <w:rsid w:val="00C07405"/>
    <w:rsid w:val="00C2149B"/>
    <w:rsid w:val="00C465B8"/>
    <w:rsid w:val="00C523FD"/>
    <w:rsid w:val="00C63F71"/>
    <w:rsid w:val="00C706E9"/>
    <w:rsid w:val="00C931C3"/>
    <w:rsid w:val="00C9390B"/>
    <w:rsid w:val="00CC6B1B"/>
    <w:rsid w:val="00CD17F1"/>
    <w:rsid w:val="00CF58F0"/>
    <w:rsid w:val="00D24F4E"/>
    <w:rsid w:val="00D253AF"/>
    <w:rsid w:val="00D34690"/>
    <w:rsid w:val="00D807DB"/>
    <w:rsid w:val="00DC3175"/>
    <w:rsid w:val="00DD38A7"/>
    <w:rsid w:val="00E0098A"/>
    <w:rsid w:val="00E06201"/>
    <w:rsid w:val="00E30FA2"/>
    <w:rsid w:val="00E45969"/>
    <w:rsid w:val="00E541B8"/>
    <w:rsid w:val="00E57373"/>
    <w:rsid w:val="00E8103A"/>
    <w:rsid w:val="00EA7531"/>
    <w:rsid w:val="00F12286"/>
    <w:rsid w:val="00F42E7B"/>
    <w:rsid w:val="00F57EE8"/>
    <w:rsid w:val="00F81537"/>
    <w:rsid w:val="00F91B23"/>
    <w:rsid w:val="00FB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0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0300D"/>
  </w:style>
  <w:style w:type="paragraph" w:customStyle="1" w:styleId="Style2">
    <w:name w:val="Style2"/>
    <w:basedOn w:val="Normal"/>
    <w:uiPriority w:val="99"/>
    <w:rsid w:val="0060300D"/>
  </w:style>
  <w:style w:type="paragraph" w:customStyle="1" w:styleId="Style3">
    <w:name w:val="Style3"/>
    <w:basedOn w:val="Normal"/>
    <w:uiPriority w:val="99"/>
    <w:rsid w:val="0060300D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  <w:rsid w:val="0060300D"/>
    <w:pPr>
      <w:jc w:val="both"/>
    </w:pPr>
  </w:style>
  <w:style w:type="paragraph" w:customStyle="1" w:styleId="Style5">
    <w:name w:val="Style5"/>
    <w:basedOn w:val="Normal"/>
    <w:uiPriority w:val="99"/>
    <w:rsid w:val="0060300D"/>
  </w:style>
  <w:style w:type="paragraph" w:customStyle="1" w:styleId="Style6">
    <w:name w:val="Style6"/>
    <w:basedOn w:val="Normal"/>
    <w:uiPriority w:val="99"/>
    <w:rsid w:val="0060300D"/>
    <w:pPr>
      <w:spacing w:line="235" w:lineRule="exact"/>
      <w:ind w:hanging="168"/>
    </w:pPr>
  </w:style>
  <w:style w:type="paragraph" w:customStyle="1" w:styleId="Style7">
    <w:name w:val="Style7"/>
    <w:basedOn w:val="Normal"/>
    <w:uiPriority w:val="99"/>
    <w:rsid w:val="0060300D"/>
  </w:style>
  <w:style w:type="paragraph" w:customStyle="1" w:styleId="Style8">
    <w:name w:val="Style8"/>
    <w:basedOn w:val="Normal"/>
    <w:uiPriority w:val="99"/>
    <w:rsid w:val="0060300D"/>
    <w:pPr>
      <w:spacing w:line="206" w:lineRule="exact"/>
    </w:pPr>
  </w:style>
  <w:style w:type="paragraph" w:customStyle="1" w:styleId="Style9">
    <w:name w:val="Style9"/>
    <w:basedOn w:val="Normal"/>
    <w:uiPriority w:val="99"/>
    <w:rsid w:val="0060300D"/>
    <w:pPr>
      <w:spacing w:line="230" w:lineRule="exact"/>
      <w:jc w:val="both"/>
    </w:pPr>
  </w:style>
  <w:style w:type="paragraph" w:customStyle="1" w:styleId="Style10">
    <w:name w:val="Style10"/>
    <w:basedOn w:val="Normal"/>
    <w:uiPriority w:val="99"/>
    <w:rsid w:val="0060300D"/>
    <w:pPr>
      <w:spacing w:line="206" w:lineRule="exact"/>
      <w:jc w:val="center"/>
    </w:pPr>
  </w:style>
  <w:style w:type="paragraph" w:customStyle="1" w:styleId="Style11">
    <w:name w:val="Style11"/>
    <w:basedOn w:val="Normal"/>
    <w:uiPriority w:val="99"/>
    <w:rsid w:val="0060300D"/>
  </w:style>
  <w:style w:type="paragraph" w:customStyle="1" w:styleId="Style12">
    <w:name w:val="Style12"/>
    <w:basedOn w:val="Normal"/>
    <w:uiPriority w:val="99"/>
    <w:rsid w:val="0060300D"/>
    <w:pPr>
      <w:spacing w:line="206" w:lineRule="exact"/>
    </w:pPr>
  </w:style>
  <w:style w:type="paragraph" w:customStyle="1" w:styleId="Style13">
    <w:name w:val="Style13"/>
    <w:basedOn w:val="Normal"/>
    <w:uiPriority w:val="99"/>
    <w:rsid w:val="0060300D"/>
    <w:pPr>
      <w:spacing w:line="187" w:lineRule="exact"/>
      <w:jc w:val="both"/>
    </w:pPr>
  </w:style>
  <w:style w:type="paragraph" w:customStyle="1" w:styleId="Style14">
    <w:name w:val="Style14"/>
    <w:basedOn w:val="Normal"/>
    <w:uiPriority w:val="99"/>
    <w:rsid w:val="0060300D"/>
    <w:pPr>
      <w:spacing w:line="206" w:lineRule="exact"/>
      <w:ind w:firstLine="158"/>
    </w:pPr>
  </w:style>
  <w:style w:type="paragraph" w:customStyle="1" w:styleId="Style15">
    <w:name w:val="Style15"/>
    <w:basedOn w:val="Normal"/>
    <w:uiPriority w:val="99"/>
    <w:rsid w:val="0060300D"/>
  </w:style>
  <w:style w:type="paragraph" w:customStyle="1" w:styleId="Style16">
    <w:name w:val="Style16"/>
    <w:basedOn w:val="Normal"/>
    <w:uiPriority w:val="99"/>
    <w:rsid w:val="0060300D"/>
    <w:pPr>
      <w:spacing w:line="206" w:lineRule="exact"/>
    </w:pPr>
  </w:style>
  <w:style w:type="character" w:customStyle="1" w:styleId="FontStyle18">
    <w:name w:val="Font Style18"/>
    <w:basedOn w:val="DefaultParagraphFont"/>
    <w:uiPriority w:val="99"/>
    <w:rsid w:val="0060300D"/>
    <w:rPr>
      <w:rFonts w:ascii="Arial" w:hAnsi="Arial" w:cs="Arial"/>
      <w:b/>
      <w:bCs/>
      <w:color w:val="000000"/>
      <w:spacing w:val="10"/>
      <w:sz w:val="68"/>
      <w:szCs w:val="68"/>
    </w:rPr>
  </w:style>
  <w:style w:type="character" w:customStyle="1" w:styleId="FontStyle19">
    <w:name w:val="Font Style19"/>
    <w:basedOn w:val="DefaultParagraphFont"/>
    <w:uiPriority w:val="99"/>
    <w:rsid w:val="0060300D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20">
    <w:name w:val="Font Style20"/>
    <w:basedOn w:val="DefaultParagraphFont"/>
    <w:uiPriority w:val="99"/>
    <w:rsid w:val="0060300D"/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60300D"/>
    <w:rPr>
      <w:rFonts w:ascii="Arial" w:hAnsi="Arial" w:cs="Arial"/>
      <w:smallCap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60300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60300D"/>
    <w:rPr>
      <w:rFonts w:ascii="MS Gothic" w:eastAsia="MS Gothic" w:cs="MS Gothic"/>
      <w:color w:val="000000"/>
      <w:spacing w:val="320"/>
      <w:sz w:val="160"/>
      <w:szCs w:val="160"/>
    </w:rPr>
  </w:style>
  <w:style w:type="character" w:customStyle="1" w:styleId="FontStyle24">
    <w:name w:val="Font Style24"/>
    <w:basedOn w:val="DefaultParagraphFont"/>
    <w:uiPriority w:val="99"/>
    <w:rsid w:val="0060300D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5">
    <w:name w:val="Font Style25"/>
    <w:basedOn w:val="DefaultParagraphFont"/>
    <w:uiPriority w:val="99"/>
    <w:rsid w:val="0060300D"/>
    <w:rPr>
      <w:rFonts w:ascii="Arial" w:hAnsi="Arial" w:cs="Arial"/>
      <w:color w:val="000000"/>
      <w:sz w:val="16"/>
      <w:szCs w:val="16"/>
    </w:rPr>
  </w:style>
  <w:style w:type="character" w:customStyle="1" w:styleId="FontStyle26">
    <w:name w:val="Font Style26"/>
    <w:basedOn w:val="DefaultParagraphFont"/>
    <w:uiPriority w:val="99"/>
    <w:rsid w:val="0060300D"/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60300D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59"/>
    <w:rsid w:val="0062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6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6D9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6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6D9"/>
    <w:rPr>
      <w:rFonts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quick-mix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Beton jastrych</vt:lpstr>
    </vt:vector>
  </TitlesOfParts>
  <Company>Acer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 jastrych</dc:title>
  <dc:creator>Sebastian Ruciński</dc:creator>
  <cp:lastModifiedBy>Ofiss</cp:lastModifiedBy>
  <cp:revision>4</cp:revision>
  <dcterms:created xsi:type="dcterms:W3CDTF">2014-07-03T13:43:00Z</dcterms:created>
  <dcterms:modified xsi:type="dcterms:W3CDTF">2015-01-21T08:32:00Z</dcterms:modified>
</cp:coreProperties>
</file>